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4B0"/>
  <w:body>
    <w:tbl>
      <w:tblPr>
        <w:tblStyle w:val="Tablaconcuadrcula"/>
        <w:tblW w:w="0" w:type="auto"/>
        <w:tblLook w:val="04A0"/>
      </w:tblPr>
      <w:tblGrid>
        <w:gridCol w:w="2175"/>
        <w:gridCol w:w="2162"/>
        <w:gridCol w:w="2168"/>
        <w:gridCol w:w="2165"/>
        <w:gridCol w:w="2156"/>
        <w:gridCol w:w="2170"/>
      </w:tblGrid>
      <w:tr w:rsidR="009E05B7" w:rsidRPr="00C21444" w:rsidTr="00C21444"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outset" w:sz="6" w:space="0" w:color="92CDDC" w:themeColor="accent5" w:themeTint="99"/>
            </w:tcBorders>
          </w:tcPr>
          <w:p w:rsidR="009E05B7" w:rsidRPr="00C21444" w:rsidRDefault="009E05B7" w:rsidP="00EE4990">
            <w:r w:rsidRPr="00C21444">
              <w:rPr>
                <w:noProof/>
                <w:lang w:val="es-CL" w:eastAsia="es-CL"/>
              </w:rPr>
              <w:drawing>
                <wp:inline distT="0" distB="0" distL="0" distR="0">
                  <wp:extent cx="657225" cy="766762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15" cy="768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tcBorders>
              <w:top w:val="outset" w:sz="6" w:space="0" w:color="92CDDC" w:themeColor="accent5" w:themeTint="99"/>
              <w:left w:val="outset" w:sz="6" w:space="0" w:color="92CDDC" w:themeColor="accent5" w:themeTint="99"/>
              <w:bottom w:val="outset" w:sz="6" w:space="0" w:color="92CDDC" w:themeColor="accent5" w:themeTint="99"/>
              <w:right w:val="outset" w:sz="6" w:space="0" w:color="92CDDC" w:themeColor="accent5" w:themeTint="99"/>
            </w:tcBorders>
            <w:shd w:val="clear" w:color="auto" w:fill="008080"/>
          </w:tcPr>
          <w:p w:rsidR="009E05B7" w:rsidRPr="00C21444" w:rsidRDefault="009E05B7" w:rsidP="009E05B7">
            <w:pPr>
              <w:rPr>
                <w:color w:val="FFFFFF" w:themeColor="background1"/>
                <w:lang w:val="es-CL"/>
              </w:rPr>
            </w:pPr>
            <w:r w:rsidRPr="00C21444">
              <w:rPr>
                <w:color w:val="FFFFFF" w:themeColor="background1"/>
                <w:lang w:val="es-CL"/>
              </w:rPr>
              <w:t>Área:</w:t>
            </w:r>
          </w:p>
        </w:tc>
        <w:tc>
          <w:tcPr>
            <w:tcW w:w="2168" w:type="dxa"/>
            <w:tcBorders>
              <w:top w:val="outset" w:sz="6" w:space="0" w:color="92CDDC" w:themeColor="accent5" w:themeTint="99"/>
              <w:left w:val="outset" w:sz="6" w:space="0" w:color="92CDDC" w:themeColor="accent5" w:themeTint="99"/>
              <w:bottom w:val="outset" w:sz="6" w:space="0" w:color="92CDDC" w:themeColor="accent5" w:themeTint="99"/>
              <w:right w:val="outset" w:sz="6" w:space="0" w:color="92CDDC" w:themeColor="accent5" w:themeTint="99"/>
            </w:tcBorders>
            <w:shd w:val="clear" w:color="auto" w:fill="008080"/>
          </w:tcPr>
          <w:p w:rsidR="009E05B7" w:rsidRPr="00C21444" w:rsidRDefault="009E05B7" w:rsidP="009E05B7">
            <w:pPr>
              <w:rPr>
                <w:color w:val="FFFFFF" w:themeColor="background1"/>
                <w:lang w:val="es-CL"/>
              </w:rPr>
            </w:pPr>
            <w:r w:rsidRPr="00C21444">
              <w:rPr>
                <w:color w:val="FFFFFF" w:themeColor="background1"/>
                <w:lang w:val="es-CL"/>
              </w:rPr>
              <w:t>Recursos:</w:t>
            </w:r>
          </w:p>
        </w:tc>
        <w:tc>
          <w:tcPr>
            <w:tcW w:w="2165" w:type="dxa"/>
            <w:tcBorders>
              <w:top w:val="outset" w:sz="6" w:space="0" w:color="92CDDC" w:themeColor="accent5" w:themeTint="99"/>
              <w:left w:val="outset" w:sz="6" w:space="0" w:color="92CDDC" w:themeColor="accent5" w:themeTint="99"/>
              <w:bottom w:val="outset" w:sz="6" w:space="0" w:color="92CDDC" w:themeColor="accent5" w:themeTint="99"/>
              <w:right w:val="outset" w:sz="6" w:space="0" w:color="92CDDC" w:themeColor="accent5" w:themeTint="99"/>
            </w:tcBorders>
            <w:shd w:val="clear" w:color="auto" w:fill="008080"/>
          </w:tcPr>
          <w:p w:rsidR="009E05B7" w:rsidRPr="00C21444" w:rsidRDefault="00E606C6" w:rsidP="009E05B7">
            <w:pPr>
              <w:rPr>
                <w:color w:val="FFFFFF" w:themeColor="background1"/>
                <w:lang w:val="es-CL"/>
              </w:rPr>
            </w:pPr>
            <w:r w:rsidRPr="00C21444">
              <w:rPr>
                <w:color w:val="FFFFFF" w:themeColor="background1"/>
                <w:lang w:val="es-CL"/>
              </w:rPr>
              <w:t>D</w:t>
            </w:r>
            <w:r w:rsidR="009E05B7" w:rsidRPr="00C21444">
              <w:rPr>
                <w:color w:val="FFFFFF" w:themeColor="background1"/>
                <w:lang w:val="es-CL"/>
              </w:rPr>
              <w:t>irigido:</w:t>
            </w:r>
          </w:p>
        </w:tc>
        <w:tc>
          <w:tcPr>
            <w:tcW w:w="2156" w:type="dxa"/>
            <w:tcBorders>
              <w:top w:val="outset" w:sz="6" w:space="0" w:color="92CDDC" w:themeColor="accent5" w:themeTint="99"/>
              <w:left w:val="outset" w:sz="6" w:space="0" w:color="92CDDC" w:themeColor="accent5" w:themeTint="99"/>
              <w:bottom w:val="outset" w:sz="6" w:space="0" w:color="92CDDC" w:themeColor="accent5" w:themeTint="99"/>
              <w:right w:val="outset" w:sz="6" w:space="0" w:color="92CDDC" w:themeColor="accent5" w:themeTint="99"/>
            </w:tcBorders>
            <w:shd w:val="clear" w:color="auto" w:fill="008080"/>
          </w:tcPr>
          <w:p w:rsidR="009E05B7" w:rsidRPr="00C21444" w:rsidRDefault="009E05B7" w:rsidP="009E05B7">
            <w:pPr>
              <w:rPr>
                <w:color w:val="FFFFFF" w:themeColor="background1"/>
                <w:lang w:val="es-CL"/>
              </w:rPr>
            </w:pPr>
            <w:r w:rsidRPr="00C21444">
              <w:rPr>
                <w:color w:val="FFFFFF" w:themeColor="background1"/>
                <w:lang w:val="es-CL"/>
              </w:rPr>
              <w:t>Fecha:</w:t>
            </w:r>
          </w:p>
        </w:tc>
        <w:tc>
          <w:tcPr>
            <w:tcW w:w="2170" w:type="dxa"/>
            <w:tcBorders>
              <w:top w:val="outset" w:sz="6" w:space="0" w:color="92CDDC" w:themeColor="accent5" w:themeTint="99"/>
              <w:left w:val="outset" w:sz="6" w:space="0" w:color="92CDDC" w:themeColor="accent5" w:themeTint="99"/>
              <w:bottom w:val="outset" w:sz="6" w:space="0" w:color="92CDDC" w:themeColor="accent5" w:themeTint="99"/>
              <w:right w:val="outset" w:sz="6" w:space="0" w:color="92CDDC" w:themeColor="accent5" w:themeTint="99"/>
            </w:tcBorders>
            <w:shd w:val="clear" w:color="auto" w:fill="008080"/>
          </w:tcPr>
          <w:p w:rsidR="009E05B7" w:rsidRPr="00C21444" w:rsidRDefault="00E606C6" w:rsidP="009E05B7">
            <w:pPr>
              <w:rPr>
                <w:color w:val="FFFFFF" w:themeColor="background1"/>
                <w:lang w:val="es-CL"/>
              </w:rPr>
            </w:pPr>
            <w:r w:rsidRPr="00C21444">
              <w:rPr>
                <w:color w:val="FFFFFF" w:themeColor="background1"/>
                <w:lang w:val="es-CL"/>
              </w:rPr>
              <w:t>E</w:t>
            </w:r>
            <w:r w:rsidR="00BC244F" w:rsidRPr="00C21444">
              <w:rPr>
                <w:color w:val="FFFFFF" w:themeColor="background1"/>
                <w:lang w:val="es-CL"/>
              </w:rPr>
              <w:t>ncargado</w:t>
            </w:r>
            <w:r w:rsidR="00D26B5B">
              <w:rPr>
                <w:color w:val="FFFFFF" w:themeColor="background1"/>
                <w:lang w:val="es-CL"/>
              </w:rPr>
              <w:t>:</w:t>
            </w:r>
          </w:p>
        </w:tc>
      </w:tr>
      <w:tr w:rsidR="009E05B7" w:rsidRPr="00C21444" w:rsidTr="00C21444">
        <w:tc>
          <w:tcPr>
            <w:tcW w:w="2175" w:type="dxa"/>
            <w:vMerge/>
            <w:tcBorders>
              <w:top w:val="nil"/>
              <w:left w:val="nil"/>
              <w:bottom w:val="nil"/>
              <w:right w:val="outset" w:sz="6" w:space="0" w:color="92CDDC" w:themeColor="accent5" w:themeTint="99"/>
            </w:tcBorders>
          </w:tcPr>
          <w:p w:rsidR="009E05B7" w:rsidRPr="00C21444" w:rsidRDefault="009E05B7"/>
        </w:tc>
        <w:tc>
          <w:tcPr>
            <w:tcW w:w="2162" w:type="dxa"/>
            <w:tcBorders>
              <w:top w:val="outset" w:sz="6" w:space="0" w:color="92CDDC" w:themeColor="accent5" w:themeTint="99"/>
              <w:left w:val="outset" w:sz="6" w:space="0" w:color="92CDDC" w:themeColor="accent5" w:themeTint="99"/>
              <w:bottom w:val="outset" w:sz="6" w:space="0" w:color="92CDDC" w:themeColor="accent5" w:themeTint="99"/>
              <w:right w:val="outset" w:sz="6" w:space="0" w:color="92CDDC" w:themeColor="accent5" w:themeTint="99"/>
            </w:tcBorders>
            <w:shd w:val="clear" w:color="auto" w:fill="FFFFFF" w:themeFill="background1"/>
          </w:tcPr>
          <w:p w:rsidR="009E05B7" w:rsidRPr="00C21444" w:rsidRDefault="00172152" w:rsidP="00D26B5B">
            <w:pPr>
              <w:jc w:val="center"/>
            </w:pPr>
            <w:r w:rsidRPr="00D26B5B">
              <w:rPr>
                <w:lang w:val="es-CL"/>
              </w:rPr>
              <w:t>Educación C</w:t>
            </w:r>
            <w:r>
              <w:rPr>
                <w:lang w:val="es-CL"/>
              </w:rPr>
              <w:t>iudadana</w:t>
            </w:r>
          </w:p>
        </w:tc>
        <w:tc>
          <w:tcPr>
            <w:tcW w:w="2168" w:type="dxa"/>
            <w:tcBorders>
              <w:top w:val="outset" w:sz="6" w:space="0" w:color="92CDDC" w:themeColor="accent5" w:themeTint="99"/>
              <w:left w:val="outset" w:sz="6" w:space="0" w:color="92CDDC" w:themeColor="accent5" w:themeTint="99"/>
              <w:bottom w:val="outset" w:sz="6" w:space="0" w:color="92CDDC" w:themeColor="accent5" w:themeTint="99"/>
              <w:right w:val="outset" w:sz="6" w:space="0" w:color="92CDDC" w:themeColor="accent5" w:themeTint="99"/>
            </w:tcBorders>
            <w:shd w:val="clear" w:color="auto" w:fill="FFFFFF" w:themeFill="background1"/>
          </w:tcPr>
          <w:p w:rsidR="009E05B7" w:rsidRPr="00C21444" w:rsidRDefault="009E05B7" w:rsidP="00D26B5B">
            <w:pPr>
              <w:jc w:val="center"/>
              <w:rPr>
                <w:lang w:val="es-CL"/>
              </w:rPr>
            </w:pPr>
            <w:r w:rsidRPr="00C21444">
              <w:rPr>
                <w:lang w:val="es-CL"/>
              </w:rPr>
              <w:t>Computador</w:t>
            </w:r>
          </w:p>
          <w:p w:rsidR="009E05B7" w:rsidRPr="00C21444" w:rsidRDefault="009E05B7" w:rsidP="00D26B5B">
            <w:pPr>
              <w:jc w:val="center"/>
              <w:rPr>
                <w:lang w:val="es-CL"/>
              </w:rPr>
            </w:pPr>
            <w:r w:rsidRPr="00C21444">
              <w:rPr>
                <w:lang w:val="es-CL"/>
              </w:rPr>
              <w:t>Videos</w:t>
            </w:r>
          </w:p>
          <w:p w:rsidR="009E05B7" w:rsidRPr="00C21444" w:rsidRDefault="009E05B7" w:rsidP="00D26B5B">
            <w:pPr>
              <w:jc w:val="center"/>
            </w:pPr>
            <w:r w:rsidRPr="00C21444">
              <w:rPr>
                <w:lang w:val="es-CL"/>
              </w:rPr>
              <w:t>informativos</w:t>
            </w:r>
          </w:p>
        </w:tc>
        <w:tc>
          <w:tcPr>
            <w:tcW w:w="2165" w:type="dxa"/>
            <w:tcBorders>
              <w:top w:val="outset" w:sz="6" w:space="0" w:color="92CDDC" w:themeColor="accent5" w:themeTint="99"/>
              <w:left w:val="outset" w:sz="6" w:space="0" w:color="92CDDC" w:themeColor="accent5" w:themeTint="99"/>
              <w:bottom w:val="outset" w:sz="6" w:space="0" w:color="92CDDC" w:themeColor="accent5" w:themeTint="99"/>
              <w:right w:val="outset" w:sz="6" w:space="0" w:color="92CDDC" w:themeColor="accent5" w:themeTint="99"/>
            </w:tcBorders>
            <w:shd w:val="clear" w:color="auto" w:fill="FFFFFF" w:themeFill="background1"/>
          </w:tcPr>
          <w:p w:rsidR="009E05B7" w:rsidRPr="00C21444" w:rsidRDefault="009E05B7" w:rsidP="00E63860">
            <w:pPr>
              <w:jc w:val="center"/>
            </w:pPr>
            <w:r w:rsidRPr="00C21444">
              <w:rPr>
                <w:color w:val="0F243E" w:themeColor="text2" w:themeShade="80"/>
                <w:lang w:val="es-CL"/>
              </w:rPr>
              <w:t>Estudiantes</w:t>
            </w:r>
            <w:r w:rsidR="00C21444" w:rsidRPr="00C21444">
              <w:rPr>
                <w:color w:val="0F243E" w:themeColor="text2" w:themeShade="80"/>
                <w:lang w:val="es-CL"/>
              </w:rPr>
              <w:t xml:space="preserve"> de </w:t>
            </w:r>
            <w:r w:rsidR="00E63860">
              <w:rPr>
                <w:color w:val="0F243E" w:themeColor="text2" w:themeShade="80"/>
                <w:lang w:val="es-CL"/>
              </w:rPr>
              <w:t>7</w:t>
            </w:r>
            <w:r w:rsidR="00C21444" w:rsidRPr="00C21444">
              <w:rPr>
                <w:color w:val="0F243E" w:themeColor="text2" w:themeShade="80"/>
                <w:lang w:val="es-CL"/>
              </w:rPr>
              <w:t>°</w:t>
            </w:r>
            <w:r w:rsidR="00E63860">
              <w:rPr>
                <w:color w:val="0F243E" w:themeColor="text2" w:themeShade="80"/>
                <w:lang w:val="es-CL"/>
              </w:rPr>
              <w:t xml:space="preserve"> y 8°</w:t>
            </w:r>
            <w:r w:rsidR="00C21444" w:rsidRPr="00C21444">
              <w:rPr>
                <w:color w:val="0F243E" w:themeColor="text2" w:themeShade="80"/>
                <w:lang w:val="es-CL"/>
              </w:rPr>
              <w:t xml:space="preserve"> básico</w:t>
            </w:r>
          </w:p>
        </w:tc>
        <w:tc>
          <w:tcPr>
            <w:tcW w:w="2156" w:type="dxa"/>
            <w:tcBorders>
              <w:top w:val="outset" w:sz="6" w:space="0" w:color="92CDDC" w:themeColor="accent5" w:themeTint="99"/>
              <w:left w:val="outset" w:sz="6" w:space="0" w:color="92CDDC" w:themeColor="accent5" w:themeTint="99"/>
              <w:bottom w:val="outset" w:sz="6" w:space="0" w:color="92CDDC" w:themeColor="accent5" w:themeTint="99"/>
              <w:right w:val="outset" w:sz="6" w:space="0" w:color="92CDDC" w:themeColor="accent5" w:themeTint="99"/>
            </w:tcBorders>
            <w:shd w:val="clear" w:color="auto" w:fill="FFFFFF" w:themeFill="background1"/>
          </w:tcPr>
          <w:p w:rsidR="009E05B7" w:rsidRPr="00C21444" w:rsidRDefault="00C21444" w:rsidP="00D26B5B">
            <w:pPr>
              <w:jc w:val="center"/>
            </w:pPr>
            <w:r w:rsidRPr="00C21444">
              <w:rPr>
                <w:color w:val="0F243E" w:themeColor="text2" w:themeShade="80"/>
                <w:lang w:val="es-CL"/>
              </w:rPr>
              <w:t>8 de marzo 2021</w:t>
            </w:r>
          </w:p>
        </w:tc>
        <w:tc>
          <w:tcPr>
            <w:tcW w:w="2170" w:type="dxa"/>
            <w:tcBorders>
              <w:top w:val="outset" w:sz="6" w:space="0" w:color="92CDDC" w:themeColor="accent5" w:themeTint="99"/>
              <w:left w:val="outset" w:sz="6" w:space="0" w:color="92CDDC" w:themeColor="accent5" w:themeTint="99"/>
              <w:bottom w:val="outset" w:sz="6" w:space="0" w:color="92CDDC" w:themeColor="accent5" w:themeTint="99"/>
              <w:right w:val="outset" w:sz="6" w:space="0" w:color="92CDDC" w:themeColor="accent5" w:themeTint="99"/>
            </w:tcBorders>
            <w:shd w:val="clear" w:color="auto" w:fill="FFFFFF" w:themeFill="background1"/>
          </w:tcPr>
          <w:p w:rsidR="001C1C02" w:rsidRPr="00C21444" w:rsidRDefault="00897029" w:rsidP="00D26B5B">
            <w:pPr>
              <w:jc w:val="center"/>
              <w:rPr>
                <w:color w:val="0F243E" w:themeColor="text2" w:themeShade="80"/>
                <w:lang w:val="es-CL"/>
              </w:rPr>
            </w:pPr>
            <w:r>
              <w:rPr>
                <w:color w:val="0F243E" w:themeColor="text2" w:themeShade="80"/>
                <w:lang w:val="es-CL"/>
              </w:rPr>
              <w:t>Profesor de la hora correspondiente.</w:t>
            </w:r>
          </w:p>
          <w:p w:rsidR="009E05B7" w:rsidRPr="00C21444" w:rsidRDefault="009E05B7" w:rsidP="00D26B5B">
            <w:pPr>
              <w:jc w:val="center"/>
            </w:pPr>
          </w:p>
        </w:tc>
      </w:tr>
      <w:tr w:rsidR="009E05B7" w:rsidRPr="00C21444" w:rsidTr="00C21444"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252D6" w:rsidRPr="00C21444" w:rsidRDefault="00B252D6" w:rsidP="00B252D6">
            <w:pPr>
              <w:ind w:left="113" w:right="113"/>
              <w:jc w:val="center"/>
              <w:rPr>
                <w:color w:val="FFFFFF" w:themeColor="background1"/>
                <w:sz w:val="72"/>
                <w:szCs w:val="72"/>
                <w:lang w:val="es-CL"/>
              </w:rPr>
            </w:pPr>
            <w:r w:rsidRPr="00C21444">
              <w:rPr>
                <w:color w:val="FFFFFF" w:themeColor="background1"/>
                <w:sz w:val="72"/>
                <w:szCs w:val="72"/>
                <w:lang w:val="es-CL"/>
              </w:rPr>
              <w:t>Planificación</w:t>
            </w:r>
          </w:p>
          <w:p w:rsidR="00B252D6" w:rsidRPr="00C21444" w:rsidRDefault="00C21444" w:rsidP="00B252D6">
            <w:pPr>
              <w:ind w:left="113" w:right="113"/>
              <w:jc w:val="center"/>
              <w:rPr>
                <w:color w:val="FFFFFF" w:themeColor="background1"/>
                <w:sz w:val="32"/>
                <w:szCs w:val="32"/>
                <w:lang w:val="es-CL"/>
              </w:rPr>
            </w:pPr>
            <w:r w:rsidRPr="00C21444">
              <w:rPr>
                <w:b/>
                <w:color w:val="FFFFFF" w:themeColor="background1"/>
                <w:sz w:val="32"/>
                <w:szCs w:val="32"/>
                <w:lang w:val="es-CL"/>
              </w:rPr>
              <w:t>CONMEMORACIÓN DÍA INTERNACIONAL DE LA MUJER</w:t>
            </w:r>
          </w:p>
          <w:p w:rsidR="009E05B7" w:rsidRPr="00C21444" w:rsidRDefault="009E05B7" w:rsidP="00B252D6">
            <w:pPr>
              <w:ind w:left="113" w:right="113"/>
            </w:pPr>
          </w:p>
        </w:tc>
        <w:tc>
          <w:tcPr>
            <w:tcW w:w="10821" w:type="dxa"/>
            <w:gridSpan w:val="5"/>
            <w:tcBorders>
              <w:top w:val="outset" w:sz="6" w:space="0" w:color="92CDDC" w:themeColor="accent5" w:themeTint="99"/>
              <w:left w:val="nil"/>
              <w:bottom w:val="inset" w:sz="6" w:space="0" w:color="92CDDC" w:themeColor="accent5" w:themeTint="99"/>
              <w:right w:val="nil"/>
            </w:tcBorders>
          </w:tcPr>
          <w:p w:rsidR="009E05B7" w:rsidRPr="00C21444" w:rsidRDefault="00A26AD1" w:rsidP="00A26AD1">
            <w:pPr>
              <w:tabs>
                <w:tab w:val="left" w:pos="3135"/>
              </w:tabs>
            </w:pPr>
            <w:r w:rsidRPr="00C21444">
              <w:tab/>
            </w:r>
          </w:p>
        </w:tc>
      </w:tr>
      <w:tr w:rsidR="00C21444" w:rsidRPr="00C21444" w:rsidTr="00C21444">
        <w:tc>
          <w:tcPr>
            <w:tcW w:w="2175" w:type="dxa"/>
            <w:vMerge/>
            <w:tcBorders>
              <w:top w:val="nil"/>
              <w:left w:val="nil"/>
              <w:bottom w:val="nil"/>
              <w:right w:val="inset" w:sz="6" w:space="0" w:color="92CDDC" w:themeColor="accent5" w:themeTint="99"/>
            </w:tcBorders>
          </w:tcPr>
          <w:p w:rsidR="00C21444" w:rsidRPr="00C21444" w:rsidRDefault="00C21444" w:rsidP="009E05B7"/>
        </w:tc>
        <w:tc>
          <w:tcPr>
            <w:tcW w:w="10821" w:type="dxa"/>
            <w:gridSpan w:val="5"/>
            <w:tcBorders>
              <w:top w:val="inset" w:sz="6" w:space="0" w:color="92CDDC" w:themeColor="accent5" w:themeTint="99"/>
              <w:left w:val="inset" w:sz="6" w:space="0" w:color="92CDDC" w:themeColor="accent5" w:themeTint="99"/>
              <w:bottom w:val="inset" w:sz="6" w:space="0" w:color="92CDDC" w:themeColor="accent5" w:themeTint="99"/>
              <w:right w:val="inset" w:sz="6" w:space="0" w:color="92CDDC" w:themeColor="accent5" w:themeTint="99"/>
            </w:tcBorders>
            <w:shd w:val="clear" w:color="auto" w:fill="008080"/>
          </w:tcPr>
          <w:p w:rsidR="00C21444" w:rsidRPr="00C21444" w:rsidRDefault="00C21444" w:rsidP="00C21444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CL"/>
              </w:rPr>
            </w:pPr>
            <w:r w:rsidRPr="00C21444">
              <w:rPr>
                <w:b/>
                <w:color w:val="FFFFFF" w:themeColor="background1"/>
                <w:sz w:val="24"/>
                <w:szCs w:val="24"/>
                <w:lang w:val="es-CL"/>
              </w:rPr>
              <w:t>CONMEMORACIÓN DÍA INTERNACIONAL DE LA MUJER</w:t>
            </w:r>
          </w:p>
        </w:tc>
      </w:tr>
      <w:tr w:rsidR="009E05B7" w:rsidRPr="00C21444" w:rsidTr="00C21444">
        <w:tc>
          <w:tcPr>
            <w:tcW w:w="2175" w:type="dxa"/>
            <w:vMerge/>
            <w:tcBorders>
              <w:top w:val="nil"/>
              <w:left w:val="nil"/>
              <w:bottom w:val="nil"/>
              <w:right w:val="inset" w:sz="6" w:space="0" w:color="92CDDC" w:themeColor="accent5" w:themeTint="99"/>
            </w:tcBorders>
          </w:tcPr>
          <w:p w:rsidR="009E05B7" w:rsidRPr="00C21444" w:rsidRDefault="009E05B7" w:rsidP="009E05B7"/>
        </w:tc>
        <w:tc>
          <w:tcPr>
            <w:tcW w:w="4330" w:type="dxa"/>
            <w:gridSpan w:val="2"/>
            <w:tcBorders>
              <w:top w:val="inset" w:sz="6" w:space="0" w:color="92CDDC" w:themeColor="accent5" w:themeTint="99"/>
              <w:left w:val="inset" w:sz="6" w:space="0" w:color="92CDDC" w:themeColor="accent5" w:themeTint="99"/>
              <w:bottom w:val="inset" w:sz="6" w:space="0" w:color="92CDDC" w:themeColor="accent5" w:themeTint="99"/>
              <w:right w:val="inset" w:sz="6" w:space="0" w:color="92CDDC" w:themeColor="accent5" w:themeTint="99"/>
            </w:tcBorders>
            <w:shd w:val="clear" w:color="auto" w:fill="008080"/>
          </w:tcPr>
          <w:p w:rsidR="009E05B7" w:rsidRPr="00C21444" w:rsidRDefault="009E05B7" w:rsidP="009E05B7">
            <w:pPr>
              <w:rPr>
                <w:b/>
                <w:color w:val="FFFFFF" w:themeColor="background1"/>
                <w:lang w:val="es-CL"/>
              </w:rPr>
            </w:pPr>
            <w:r w:rsidRPr="00C21444">
              <w:rPr>
                <w:b/>
                <w:color w:val="FFFFFF" w:themeColor="background1"/>
                <w:lang w:val="es-CL"/>
              </w:rPr>
              <w:t xml:space="preserve">Objetivo de aprendizaje </w:t>
            </w:r>
          </w:p>
          <w:p w:rsidR="009E05B7" w:rsidRPr="00C21444" w:rsidRDefault="009E05B7" w:rsidP="009E05B7">
            <w:pPr>
              <w:rPr>
                <w:b/>
                <w:color w:val="FFFFFF" w:themeColor="background1"/>
                <w:lang w:val="es-CL"/>
              </w:rPr>
            </w:pPr>
          </w:p>
        </w:tc>
        <w:tc>
          <w:tcPr>
            <w:tcW w:w="6491" w:type="dxa"/>
            <w:gridSpan w:val="3"/>
            <w:tcBorders>
              <w:top w:val="inset" w:sz="6" w:space="0" w:color="92CDDC" w:themeColor="accent5" w:themeTint="99"/>
              <w:left w:val="inset" w:sz="6" w:space="0" w:color="92CDDC" w:themeColor="accent5" w:themeTint="99"/>
              <w:bottom w:val="inset" w:sz="6" w:space="0" w:color="92CDDC" w:themeColor="accent5" w:themeTint="99"/>
              <w:right w:val="inset" w:sz="6" w:space="0" w:color="92CDDC" w:themeColor="accent5" w:themeTint="99"/>
            </w:tcBorders>
            <w:shd w:val="clear" w:color="auto" w:fill="FFFFFF" w:themeFill="background1"/>
          </w:tcPr>
          <w:p w:rsidR="00C21444" w:rsidRPr="00C21444" w:rsidRDefault="00C21444" w:rsidP="00C21444">
            <w:pPr>
              <w:autoSpaceDE w:val="0"/>
              <w:autoSpaceDN w:val="0"/>
              <w:adjustRightInd w:val="0"/>
              <w:rPr>
                <w:rFonts w:eastAsiaTheme="minorHAnsi" w:cs="Leelawadee"/>
                <w:sz w:val="20"/>
                <w:szCs w:val="20"/>
                <w:lang w:val="es-CL" w:eastAsia="en-US"/>
              </w:rPr>
            </w:pPr>
            <w:r w:rsidRPr="00C21444">
              <w:rPr>
                <w:rFonts w:eastAsiaTheme="minorHAnsi" w:cs="Leelawadee"/>
                <w:sz w:val="20"/>
                <w:szCs w:val="20"/>
                <w:lang w:val="es-CL" w:eastAsia="en-US"/>
              </w:rPr>
              <w:t>OA 6</w:t>
            </w:r>
          </w:p>
          <w:p w:rsidR="00C21444" w:rsidRPr="00C21444" w:rsidRDefault="00C21444" w:rsidP="00C21444">
            <w:pPr>
              <w:autoSpaceDE w:val="0"/>
              <w:autoSpaceDN w:val="0"/>
              <w:adjustRightInd w:val="0"/>
              <w:rPr>
                <w:rFonts w:eastAsiaTheme="minorHAnsi" w:cs="Leelawadee"/>
                <w:sz w:val="20"/>
                <w:szCs w:val="20"/>
                <w:lang w:val="es-CL" w:eastAsia="en-US"/>
              </w:rPr>
            </w:pPr>
            <w:r w:rsidRPr="00C21444">
              <w:rPr>
                <w:rFonts w:eastAsiaTheme="minorHAnsi" w:cs="Leelawadee"/>
                <w:sz w:val="20"/>
                <w:szCs w:val="20"/>
                <w:lang w:val="es-CL" w:eastAsia="en-US"/>
              </w:rPr>
              <w:t>Manifestar actitudes de solidaridad y respeto, que favorezcan la convivencia, como:</w:t>
            </w:r>
          </w:p>
          <w:p w:rsidR="00C21444" w:rsidRPr="00C21444" w:rsidRDefault="00C21444" w:rsidP="00C21444">
            <w:pPr>
              <w:autoSpaceDE w:val="0"/>
              <w:autoSpaceDN w:val="0"/>
              <w:adjustRightInd w:val="0"/>
              <w:rPr>
                <w:rFonts w:eastAsiaTheme="minorHAnsi" w:cs="Leelawadee"/>
                <w:sz w:val="20"/>
                <w:szCs w:val="20"/>
                <w:lang w:val="es-CL" w:eastAsia="en-US"/>
              </w:rPr>
            </w:pPr>
            <w:r w:rsidRPr="00C21444">
              <w:rPr>
                <w:rFonts w:eastAsiaTheme="minorHAnsi" w:cs="Leelawadee"/>
                <w:sz w:val="20"/>
                <w:szCs w:val="20"/>
                <w:lang w:val="es-CL" w:eastAsia="en-US"/>
              </w:rPr>
              <w:t>· Actuar en forma empática (poniéndose en el lugar del otro).</w:t>
            </w:r>
          </w:p>
          <w:p w:rsidR="00C21444" w:rsidRPr="00C21444" w:rsidRDefault="00C21444" w:rsidP="00C21444">
            <w:pPr>
              <w:autoSpaceDE w:val="0"/>
              <w:autoSpaceDN w:val="0"/>
              <w:adjustRightInd w:val="0"/>
              <w:rPr>
                <w:rFonts w:eastAsiaTheme="minorHAnsi" w:cs="Leelawadee"/>
                <w:sz w:val="20"/>
                <w:szCs w:val="20"/>
                <w:lang w:val="es-CL" w:eastAsia="en-US"/>
              </w:rPr>
            </w:pPr>
            <w:r w:rsidRPr="00C21444">
              <w:rPr>
                <w:rFonts w:eastAsiaTheme="minorHAnsi" w:cs="Leelawadee"/>
                <w:sz w:val="20"/>
                <w:szCs w:val="20"/>
                <w:lang w:val="es-CL" w:eastAsia="en-US"/>
              </w:rPr>
              <w:t>· Utilizar un buen trato (por ejemplo, saludar, despedirse, pedir por favor).</w:t>
            </w:r>
          </w:p>
          <w:p w:rsidR="00C21444" w:rsidRPr="00C21444" w:rsidRDefault="00C21444" w:rsidP="00C21444">
            <w:pPr>
              <w:autoSpaceDE w:val="0"/>
              <w:autoSpaceDN w:val="0"/>
              <w:adjustRightInd w:val="0"/>
              <w:rPr>
                <w:rFonts w:eastAsiaTheme="minorHAnsi" w:cs="Leelawadee"/>
                <w:sz w:val="20"/>
                <w:szCs w:val="20"/>
                <w:lang w:val="es-CL" w:eastAsia="en-US"/>
              </w:rPr>
            </w:pPr>
            <w:r w:rsidRPr="00C21444">
              <w:rPr>
                <w:rFonts w:eastAsiaTheme="minorHAnsi" w:cs="Leelawadee"/>
                <w:sz w:val="20"/>
                <w:szCs w:val="20"/>
                <w:lang w:val="es-CL" w:eastAsia="en-US"/>
              </w:rPr>
              <w:t>· Evitar y rechazar toda forma de violencia y discriminación, ya sea por etnias, género, religión, nacionalidad, etc.</w:t>
            </w:r>
          </w:p>
          <w:p w:rsidR="00C21444" w:rsidRPr="00C21444" w:rsidRDefault="00C21444" w:rsidP="00C21444">
            <w:pPr>
              <w:autoSpaceDE w:val="0"/>
              <w:autoSpaceDN w:val="0"/>
              <w:adjustRightInd w:val="0"/>
              <w:rPr>
                <w:rFonts w:eastAsiaTheme="minorHAnsi" w:cs="Leelawadee"/>
                <w:sz w:val="20"/>
                <w:szCs w:val="20"/>
                <w:lang w:val="es-CL" w:eastAsia="en-US"/>
              </w:rPr>
            </w:pPr>
            <w:r w:rsidRPr="00C21444">
              <w:rPr>
                <w:rFonts w:eastAsiaTheme="minorHAnsi" w:cs="Leelawadee"/>
                <w:sz w:val="20"/>
                <w:szCs w:val="20"/>
                <w:lang w:val="es-CL" w:eastAsia="en-US"/>
              </w:rPr>
              <w:t>· Respetar el derecho de todos a expresar opiniones y ser diferente.</w:t>
            </w:r>
          </w:p>
          <w:p w:rsidR="00C21444" w:rsidRPr="00C21444" w:rsidRDefault="00C21444" w:rsidP="00C21444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  <w:r w:rsidRPr="00C21444">
              <w:rPr>
                <w:rFonts w:eastAsiaTheme="minorHAnsi" w:cs="Leelawadee"/>
                <w:sz w:val="20"/>
                <w:szCs w:val="20"/>
                <w:lang w:val="es-CL" w:eastAsia="en-US"/>
              </w:rPr>
              <w:t>· Prestar ayuda especialmente a quien lo</w:t>
            </w:r>
            <w:r w:rsidRPr="00C21444"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 necesite.</w:t>
            </w:r>
          </w:p>
          <w:p w:rsidR="00C21444" w:rsidRPr="00C21444" w:rsidRDefault="00C21444" w:rsidP="00C21444">
            <w:pPr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  <w:r w:rsidRPr="00C21444">
              <w:rPr>
                <w:rFonts w:eastAsiaTheme="minorHAnsi" w:cs="Roboto-Regular"/>
                <w:sz w:val="20"/>
                <w:szCs w:val="20"/>
                <w:lang w:val="es-CL" w:eastAsia="en-US"/>
              </w:rPr>
              <w:t>· Respetar el ambiente de aprendizaje.</w:t>
            </w:r>
          </w:p>
        </w:tc>
      </w:tr>
      <w:tr w:rsidR="009E05B7" w:rsidRPr="00C21444" w:rsidTr="00C21444">
        <w:tc>
          <w:tcPr>
            <w:tcW w:w="2175" w:type="dxa"/>
            <w:vMerge/>
            <w:tcBorders>
              <w:top w:val="nil"/>
              <w:left w:val="nil"/>
              <w:bottom w:val="nil"/>
              <w:right w:val="inset" w:sz="6" w:space="0" w:color="92CDDC" w:themeColor="accent5" w:themeTint="99"/>
            </w:tcBorders>
          </w:tcPr>
          <w:p w:rsidR="009E05B7" w:rsidRPr="00C21444" w:rsidRDefault="009E05B7" w:rsidP="009E05B7"/>
        </w:tc>
        <w:tc>
          <w:tcPr>
            <w:tcW w:w="4330" w:type="dxa"/>
            <w:gridSpan w:val="2"/>
            <w:tcBorders>
              <w:top w:val="inset" w:sz="6" w:space="0" w:color="92CDDC" w:themeColor="accent5" w:themeTint="99"/>
              <w:left w:val="inset" w:sz="6" w:space="0" w:color="92CDDC" w:themeColor="accent5" w:themeTint="99"/>
              <w:bottom w:val="inset" w:sz="6" w:space="0" w:color="92CDDC" w:themeColor="accent5" w:themeTint="99"/>
              <w:right w:val="inset" w:sz="6" w:space="0" w:color="92CDDC" w:themeColor="accent5" w:themeTint="99"/>
            </w:tcBorders>
            <w:shd w:val="clear" w:color="auto" w:fill="008080"/>
          </w:tcPr>
          <w:p w:rsidR="009E05B7" w:rsidRPr="00C21444" w:rsidRDefault="009E05B7" w:rsidP="009E05B7">
            <w:pPr>
              <w:rPr>
                <w:b/>
                <w:color w:val="FFFFFF" w:themeColor="background1"/>
                <w:lang w:val="es-CL"/>
              </w:rPr>
            </w:pPr>
            <w:r w:rsidRPr="00C21444">
              <w:rPr>
                <w:b/>
                <w:color w:val="FFFFFF" w:themeColor="background1"/>
                <w:lang w:val="es-CL"/>
              </w:rPr>
              <w:t>Objetivo de la actividad</w:t>
            </w:r>
          </w:p>
        </w:tc>
        <w:tc>
          <w:tcPr>
            <w:tcW w:w="6491" w:type="dxa"/>
            <w:gridSpan w:val="3"/>
            <w:tcBorders>
              <w:top w:val="inset" w:sz="6" w:space="0" w:color="92CDDC" w:themeColor="accent5" w:themeTint="99"/>
              <w:left w:val="inset" w:sz="6" w:space="0" w:color="92CDDC" w:themeColor="accent5" w:themeTint="99"/>
              <w:bottom w:val="inset" w:sz="6" w:space="0" w:color="92CDDC" w:themeColor="accent5" w:themeTint="99"/>
              <w:right w:val="inset" w:sz="6" w:space="0" w:color="92CDDC" w:themeColor="accent5" w:themeTint="99"/>
            </w:tcBorders>
            <w:shd w:val="clear" w:color="auto" w:fill="FFFFFF" w:themeFill="background1"/>
          </w:tcPr>
          <w:p w:rsidR="009E05B7" w:rsidRPr="00D26B5B" w:rsidRDefault="009E05B7" w:rsidP="00C21444">
            <w:pPr>
              <w:rPr>
                <w:color w:val="0F243E" w:themeColor="text2" w:themeShade="80"/>
                <w:sz w:val="20"/>
                <w:szCs w:val="20"/>
                <w:lang w:val="es-CL"/>
              </w:rPr>
            </w:pPr>
            <w:r w:rsidRPr="00D26B5B">
              <w:rPr>
                <w:color w:val="0F243E" w:themeColor="text2" w:themeShade="80"/>
                <w:sz w:val="20"/>
                <w:szCs w:val="20"/>
                <w:lang w:val="es-CL"/>
              </w:rPr>
              <w:t xml:space="preserve">Promover conductas </w:t>
            </w:r>
            <w:r w:rsidR="00C21444" w:rsidRPr="00D26B5B">
              <w:rPr>
                <w:sz w:val="20"/>
                <w:szCs w:val="20"/>
                <w:lang w:val="es-CL"/>
              </w:rPr>
              <w:t>empáticas en relación a la diferencia de género.</w:t>
            </w:r>
          </w:p>
        </w:tc>
      </w:tr>
      <w:tr w:rsidR="009E05B7" w:rsidRPr="00C21444" w:rsidTr="00C21444">
        <w:tc>
          <w:tcPr>
            <w:tcW w:w="2175" w:type="dxa"/>
            <w:vMerge/>
            <w:tcBorders>
              <w:top w:val="nil"/>
              <w:left w:val="nil"/>
              <w:bottom w:val="nil"/>
              <w:right w:val="inset" w:sz="6" w:space="0" w:color="92CDDC" w:themeColor="accent5" w:themeTint="99"/>
            </w:tcBorders>
          </w:tcPr>
          <w:p w:rsidR="009E05B7" w:rsidRPr="00C21444" w:rsidRDefault="009E05B7" w:rsidP="009E05B7"/>
        </w:tc>
        <w:tc>
          <w:tcPr>
            <w:tcW w:w="10821" w:type="dxa"/>
            <w:gridSpan w:val="5"/>
            <w:tcBorders>
              <w:top w:val="inset" w:sz="6" w:space="0" w:color="92CDDC" w:themeColor="accent5" w:themeTint="99"/>
              <w:left w:val="inset" w:sz="6" w:space="0" w:color="92CDDC" w:themeColor="accent5" w:themeTint="99"/>
              <w:bottom w:val="inset" w:sz="6" w:space="0" w:color="92CDDC" w:themeColor="accent5" w:themeTint="99"/>
              <w:right w:val="inset" w:sz="6" w:space="0" w:color="92CDDC" w:themeColor="accent5" w:themeTint="99"/>
            </w:tcBorders>
            <w:shd w:val="clear" w:color="auto" w:fill="008080"/>
          </w:tcPr>
          <w:p w:rsidR="009E05B7" w:rsidRPr="00C21444" w:rsidRDefault="009E05B7" w:rsidP="009E05B7">
            <w:pPr>
              <w:rPr>
                <w:b/>
                <w:color w:val="FFFFFF" w:themeColor="background1"/>
                <w:lang w:val="es-CL"/>
              </w:rPr>
            </w:pPr>
            <w:r w:rsidRPr="00C21444">
              <w:rPr>
                <w:b/>
                <w:color w:val="FFFFFF" w:themeColor="background1"/>
                <w:lang w:val="es-CL"/>
              </w:rPr>
              <w:t>Acciones</w:t>
            </w:r>
          </w:p>
        </w:tc>
      </w:tr>
      <w:tr w:rsidR="004816A5" w:rsidRPr="004816A5" w:rsidTr="00C21444">
        <w:tc>
          <w:tcPr>
            <w:tcW w:w="2175" w:type="dxa"/>
            <w:vMerge/>
            <w:tcBorders>
              <w:top w:val="nil"/>
              <w:left w:val="nil"/>
              <w:bottom w:val="nil"/>
              <w:right w:val="inset" w:sz="6" w:space="0" w:color="92CDDC" w:themeColor="accent5" w:themeTint="99"/>
            </w:tcBorders>
          </w:tcPr>
          <w:p w:rsidR="009E05B7" w:rsidRPr="004816A5" w:rsidRDefault="009E05B7" w:rsidP="009E05B7">
            <w:pPr>
              <w:rPr>
                <w:sz w:val="20"/>
                <w:szCs w:val="20"/>
              </w:rPr>
            </w:pPr>
          </w:p>
        </w:tc>
        <w:tc>
          <w:tcPr>
            <w:tcW w:w="10821" w:type="dxa"/>
            <w:gridSpan w:val="5"/>
            <w:tcBorders>
              <w:top w:val="inset" w:sz="6" w:space="0" w:color="92CDDC" w:themeColor="accent5" w:themeTint="99"/>
              <w:left w:val="inset" w:sz="6" w:space="0" w:color="92CDDC" w:themeColor="accent5" w:themeTint="99"/>
              <w:bottom w:val="inset" w:sz="6" w:space="0" w:color="92CDDC" w:themeColor="accent5" w:themeTint="99"/>
              <w:right w:val="inset" w:sz="6" w:space="0" w:color="92CDDC" w:themeColor="accent5" w:themeTint="99"/>
            </w:tcBorders>
            <w:shd w:val="clear" w:color="auto" w:fill="FFFFFF" w:themeFill="background1"/>
          </w:tcPr>
          <w:p w:rsidR="0074683C" w:rsidRPr="004816A5" w:rsidRDefault="00C21444" w:rsidP="00C21444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>La actividad se realiza en 1 clase de 90 minutos aproximadamente, en que las y los estudiantes des</w:t>
            </w:r>
            <w:r w:rsidR="001E635C"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arrollan de manera individual y </w:t>
            </w: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>luego grupal una reflexión sobre el buen trato entre hombres y mujeres y como el diálogo permite mejorar la comunicación entre los seres humanos más allá de sus diferencias.</w:t>
            </w:r>
          </w:p>
          <w:p w:rsidR="00C21444" w:rsidRPr="004816A5" w:rsidRDefault="00C21444" w:rsidP="00C21444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</w:p>
          <w:p w:rsidR="00C21444" w:rsidRPr="004816A5" w:rsidRDefault="00C21444" w:rsidP="00C21444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>El docente saluda a las y los estudiantes</w:t>
            </w:r>
            <w:r w:rsidR="001E635C"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, hace una pequeña reflexión en relación a la oración de la mañana </w:t>
            </w: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 y los invita a comentar el siguiente video:</w:t>
            </w:r>
          </w:p>
          <w:bookmarkStart w:id="0" w:name="_GoBack"/>
          <w:p w:rsidR="00AD35EB" w:rsidRPr="004816A5" w:rsidRDefault="008831BE" w:rsidP="00AD35EB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  <w:r w:rsidRPr="008831BE">
              <w:fldChar w:fldCharType="begin"/>
            </w:r>
            <w:r w:rsidR="00897029">
              <w:instrText xml:space="preserve"> HYPERLINK "https://youtu.be/s82iF2ew-yk" </w:instrText>
            </w:r>
            <w:r w:rsidRPr="008831BE">
              <w:fldChar w:fldCharType="separate"/>
            </w:r>
            <w:r w:rsidR="00AD35EB" w:rsidRPr="004816A5">
              <w:rPr>
                <w:rStyle w:val="Hipervnculo"/>
                <w:rFonts w:eastAsiaTheme="minorHAnsi" w:cs="Roboto-Regular"/>
                <w:color w:val="auto"/>
                <w:sz w:val="20"/>
                <w:szCs w:val="20"/>
                <w:lang w:val="es-CL" w:eastAsia="en-US"/>
              </w:rPr>
              <w:t>https://youtu.be/s82iF2ew-yk</w:t>
            </w:r>
            <w:r>
              <w:rPr>
                <w:rStyle w:val="Hipervnculo"/>
                <w:rFonts w:eastAsiaTheme="minorHAnsi" w:cs="Roboto-Regular"/>
                <w:color w:val="auto"/>
                <w:sz w:val="20"/>
                <w:szCs w:val="20"/>
                <w:lang w:val="es-CL" w:eastAsia="en-US"/>
              </w:rPr>
              <w:fldChar w:fldCharType="end"/>
            </w:r>
          </w:p>
          <w:bookmarkEnd w:id="0"/>
          <w:p w:rsidR="00E63860" w:rsidRPr="004816A5" w:rsidRDefault="00E63860" w:rsidP="00C21444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</w:p>
          <w:p w:rsidR="001E635C" w:rsidRPr="004816A5" w:rsidRDefault="001E635C" w:rsidP="00E63860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>Este pequeño video les permite introducir una conversación sobre la valoración hacia las mujeres y las identidades femeninas.</w:t>
            </w:r>
          </w:p>
          <w:p w:rsidR="001E635C" w:rsidRPr="004816A5" w:rsidRDefault="001E635C" w:rsidP="001E635C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Usar como motivación la misma pregunta: </w:t>
            </w:r>
          </w:p>
          <w:p w:rsidR="00E63860" w:rsidRPr="004816A5" w:rsidRDefault="00E63860" w:rsidP="00E63860">
            <w:pPr>
              <w:autoSpaceDE w:val="0"/>
              <w:autoSpaceDN w:val="0"/>
              <w:adjustRightInd w:val="0"/>
              <w:rPr>
                <w:rFonts w:eastAsiaTheme="minorHAnsi" w:cs="Roboto-Bold"/>
                <w:bCs/>
                <w:sz w:val="20"/>
                <w:szCs w:val="20"/>
                <w:lang w:val="es-CL" w:eastAsia="en-US"/>
              </w:rPr>
            </w:pPr>
            <w:r w:rsidRPr="004816A5">
              <w:rPr>
                <w:rFonts w:eastAsiaTheme="minorHAnsi" w:cs="Roboto-Bold"/>
                <w:bCs/>
                <w:sz w:val="20"/>
                <w:szCs w:val="20"/>
                <w:lang w:val="es-CL" w:eastAsia="en-US"/>
              </w:rPr>
              <w:t>¿Qué les llamó la atención del video?</w:t>
            </w:r>
          </w:p>
          <w:p w:rsidR="004816A5" w:rsidRPr="004816A5" w:rsidRDefault="004816A5" w:rsidP="004816A5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>¿Cuándo se convirtió en algo ofensivo decir “como niña”? por ejemplo, “corre como niña”</w:t>
            </w:r>
            <w:proofErr w:type="gramStart"/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>..</w:t>
            </w:r>
            <w:proofErr w:type="gramEnd"/>
          </w:p>
          <w:p w:rsidR="004816A5" w:rsidRPr="004816A5" w:rsidRDefault="004816A5" w:rsidP="004816A5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>¿Utilizamos este lenguaje cuando hablamos de nuestras amigas, hermanas, compañeras…?</w:t>
            </w:r>
          </w:p>
          <w:p w:rsidR="00E63860" w:rsidRPr="004816A5" w:rsidRDefault="00E63860" w:rsidP="00E63860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</w:p>
          <w:p w:rsidR="004816A5" w:rsidRPr="004816A5" w:rsidRDefault="004816A5" w:rsidP="004816A5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>Con las respuestas recogidas de los estudiantes, el o la profesora introduce el tema, señalando que en grupos de 5 estudiantesharán un listado, con:</w:t>
            </w:r>
          </w:p>
          <w:p w:rsidR="004816A5" w:rsidRPr="004816A5" w:rsidRDefault="004816A5" w:rsidP="004816A5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>Profesiones para mujeres y hombres</w:t>
            </w:r>
          </w:p>
          <w:p w:rsidR="004816A5" w:rsidRPr="004816A5" w:rsidRDefault="004816A5" w:rsidP="004816A5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>Juguetes para mujeres y hombres</w:t>
            </w:r>
          </w:p>
          <w:p w:rsidR="004816A5" w:rsidRDefault="004816A5" w:rsidP="004816A5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lastRenderedPageBreak/>
              <w:t>Grupos musicales para mujeres y hombres</w:t>
            </w:r>
          </w:p>
          <w:p w:rsidR="004816A5" w:rsidRPr="004816A5" w:rsidRDefault="004816A5" w:rsidP="004816A5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</w:p>
          <w:p w:rsidR="004816A5" w:rsidRDefault="004816A5" w:rsidP="004816A5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Se solicita a las y los estudiantes que ahora </w:t>
            </w:r>
            <w:r>
              <w:rPr>
                <w:rFonts w:eastAsiaTheme="minorHAnsi" w:cs="Roboto-Regular"/>
                <w:sz w:val="20"/>
                <w:szCs w:val="20"/>
                <w:lang w:val="es-CL" w:eastAsia="en-US"/>
              </w:rPr>
              <w:t>presenten su listado</w:t>
            </w: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. </w:t>
            </w:r>
            <w:r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Una vez revisado los listados, se cotejarán las profesiones, los juguetes y los grupos más repetidos y cada grupo se reunirá nuevamente, </w:t>
            </w: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>y analizarán una profesión, un juguete y un grupo musical y señalan por qué creenque se relacionan</w:t>
            </w:r>
            <w:r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 con las niñas y otros con los niños</w:t>
            </w: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 (por ejemplo, pelotas y autos para los varones, muñecas para las niñas)</w:t>
            </w:r>
          </w:p>
          <w:p w:rsidR="004816A5" w:rsidRPr="004816A5" w:rsidRDefault="004816A5" w:rsidP="004816A5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</w:p>
          <w:p w:rsidR="004816A5" w:rsidRDefault="004816A5" w:rsidP="004816A5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El o la profesora introduce una reflexión que les haga cuestionarse la relación entre algunos juegos </w:t>
            </w:r>
            <w:r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y profesiones y las expresiones </w:t>
            </w: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>de género. La/el docente si es necesario puede plantear un contraejemplo: “¿las niñ</w:t>
            </w:r>
            <w:r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as no pueden jugar fútbol? ¿Los </w:t>
            </w: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>varones no pueden jugar con muñecas?”</w:t>
            </w:r>
          </w:p>
          <w:p w:rsidR="004816A5" w:rsidRPr="004816A5" w:rsidRDefault="004816A5" w:rsidP="004816A5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</w:p>
          <w:p w:rsidR="004816A5" w:rsidRDefault="004816A5" w:rsidP="004816A5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>La o el profesor cierra la actividad señalando que la igualdad entre hombres y mujeres parte por va</w:t>
            </w:r>
            <w:r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lorar la individualidad de cada </w:t>
            </w: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ser humano y que sus gustos, preferencias, tienen una relación directa con la cultura en la </w:t>
            </w:r>
            <w:r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que se encuentran inmersos. Por </w:t>
            </w: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>ejemplo, en algunos pueblos originarios el cultivo de la tierra (agricultura) es de responsabil</w:t>
            </w:r>
            <w:r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idad de las mujeres y no de los </w:t>
            </w:r>
            <w:r w:rsidRPr="004816A5">
              <w:rPr>
                <w:rFonts w:eastAsiaTheme="minorHAnsi" w:cs="Roboto-Regular"/>
                <w:sz w:val="20"/>
                <w:szCs w:val="20"/>
                <w:lang w:val="es-CL" w:eastAsia="en-US"/>
              </w:rPr>
              <w:t>hombres.</w:t>
            </w:r>
          </w:p>
          <w:p w:rsidR="004816A5" w:rsidRPr="004816A5" w:rsidRDefault="004816A5" w:rsidP="004816A5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</w:p>
          <w:p w:rsidR="00C21444" w:rsidRPr="004816A5" w:rsidRDefault="004816A5" w:rsidP="004816A5">
            <w:pPr>
              <w:autoSpaceDE w:val="0"/>
              <w:autoSpaceDN w:val="0"/>
              <w:adjustRightInd w:val="0"/>
              <w:rPr>
                <w:rFonts w:eastAsiaTheme="minorHAnsi" w:cs="Roboto-Regular"/>
                <w:sz w:val="20"/>
                <w:szCs w:val="20"/>
                <w:lang w:val="es-CL" w:eastAsia="en-US"/>
              </w:rPr>
            </w:pPr>
            <w:r w:rsidRPr="001E635C"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El o la profesora los invita a </w:t>
            </w:r>
            <w:r>
              <w:rPr>
                <w:rFonts w:eastAsiaTheme="minorHAnsi" w:cs="Roboto-Regular"/>
                <w:sz w:val="20"/>
                <w:szCs w:val="20"/>
                <w:lang w:val="es-CL" w:eastAsia="en-US"/>
              </w:rPr>
              <w:t>dar</w:t>
            </w:r>
            <w:r w:rsidRPr="001E635C"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 idea</w:t>
            </w:r>
            <w:r>
              <w:rPr>
                <w:rFonts w:eastAsiaTheme="minorHAnsi" w:cs="Roboto-Regular"/>
                <w:sz w:val="20"/>
                <w:szCs w:val="20"/>
                <w:lang w:val="es-CL" w:eastAsia="en-US"/>
              </w:rPr>
              <w:t>s</w:t>
            </w:r>
            <w:r w:rsidRPr="001E635C"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 sobre </w:t>
            </w:r>
            <w:r>
              <w:rPr>
                <w:rFonts w:eastAsiaTheme="minorHAnsi" w:cs="Roboto-Regular"/>
                <w:sz w:val="20"/>
                <w:szCs w:val="20"/>
                <w:lang w:val="es-CL" w:eastAsia="en-US"/>
              </w:rPr>
              <w:t>cómo podemos hacer que exista</w:t>
            </w:r>
            <w:r w:rsidRPr="001E635C">
              <w:rPr>
                <w:rFonts w:eastAsiaTheme="minorHAnsi" w:cs="Roboto-Regular"/>
                <w:sz w:val="20"/>
                <w:szCs w:val="20"/>
                <w:lang w:val="es-CL" w:eastAsia="en-US"/>
              </w:rPr>
              <w:t xml:space="preserve"> igualdad entre hombres y mujeres en señal de compromiso.</w:t>
            </w:r>
          </w:p>
        </w:tc>
      </w:tr>
    </w:tbl>
    <w:p w:rsidR="008A2902" w:rsidRPr="004816A5" w:rsidRDefault="008A2902">
      <w:pPr>
        <w:rPr>
          <w:sz w:val="20"/>
          <w:szCs w:val="20"/>
        </w:rPr>
      </w:pPr>
    </w:p>
    <w:p w:rsidR="00AB380E" w:rsidRPr="004816A5" w:rsidRDefault="00AB380E">
      <w:pPr>
        <w:rPr>
          <w:sz w:val="20"/>
          <w:szCs w:val="20"/>
        </w:rPr>
      </w:pPr>
    </w:p>
    <w:sectPr w:rsidR="00AB380E" w:rsidRPr="004816A5" w:rsidSect="0074683C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6A9D"/>
    <w:multiLevelType w:val="multilevel"/>
    <w:tmpl w:val="B69A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A29B9"/>
    <w:multiLevelType w:val="multilevel"/>
    <w:tmpl w:val="CDF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01540"/>
    <w:multiLevelType w:val="hybridMultilevel"/>
    <w:tmpl w:val="E47019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7B03DE"/>
    <w:multiLevelType w:val="multilevel"/>
    <w:tmpl w:val="13B4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237CC2"/>
    <w:multiLevelType w:val="hybridMultilevel"/>
    <w:tmpl w:val="2D1A89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B526F45"/>
    <w:multiLevelType w:val="multilevel"/>
    <w:tmpl w:val="0546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2151A"/>
    <w:multiLevelType w:val="multilevel"/>
    <w:tmpl w:val="8FD4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9E05B7"/>
    <w:rsid w:val="00097937"/>
    <w:rsid w:val="000C41E2"/>
    <w:rsid w:val="000D38F2"/>
    <w:rsid w:val="00172152"/>
    <w:rsid w:val="001C1C02"/>
    <w:rsid w:val="001C7A58"/>
    <w:rsid w:val="001E635C"/>
    <w:rsid w:val="001F10FC"/>
    <w:rsid w:val="002A65E0"/>
    <w:rsid w:val="004816A5"/>
    <w:rsid w:val="00505219"/>
    <w:rsid w:val="005251A4"/>
    <w:rsid w:val="005616B2"/>
    <w:rsid w:val="00607AFC"/>
    <w:rsid w:val="00652F12"/>
    <w:rsid w:val="0068794D"/>
    <w:rsid w:val="006C365E"/>
    <w:rsid w:val="00713FB2"/>
    <w:rsid w:val="00732EC1"/>
    <w:rsid w:val="0074683C"/>
    <w:rsid w:val="007E4348"/>
    <w:rsid w:val="007F7BE3"/>
    <w:rsid w:val="008071B9"/>
    <w:rsid w:val="008831BE"/>
    <w:rsid w:val="00897029"/>
    <w:rsid w:val="008A2902"/>
    <w:rsid w:val="008E76AA"/>
    <w:rsid w:val="0095513B"/>
    <w:rsid w:val="009E05B7"/>
    <w:rsid w:val="00A26AD1"/>
    <w:rsid w:val="00AB380E"/>
    <w:rsid w:val="00AD35EB"/>
    <w:rsid w:val="00B252D6"/>
    <w:rsid w:val="00B333CC"/>
    <w:rsid w:val="00B547B7"/>
    <w:rsid w:val="00B72BE8"/>
    <w:rsid w:val="00BC244F"/>
    <w:rsid w:val="00BD3869"/>
    <w:rsid w:val="00C21444"/>
    <w:rsid w:val="00CD3CA4"/>
    <w:rsid w:val="00D07C42"/>
    <w:rsid w:val="00D26B5B"/>
    <w:rsid w:val="00D65263"/>
    <w:rsid w:val="00E606C6"/>
    <w:rsid w:val="00E63860"/>
    <w:rsid w:val="00EA4A95"/>
    <w:rsid w:val="00EE4990"/>
    <w:rsid w:val="00EF2F97"/>
    <w:rsid w:val="00F4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b4b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B7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5B7"/>
    <w:rPr>
      <w:rFonts w:ascii="Tahoma" w:eastAsiaTheme="minorEastAsi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10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0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10FC"/>
    <w:rPr>
      <w:rFonts w:eastAsiaTheme="minorEastAsia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0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0FC"/>
    <w:rPr>
      <w:rFonts w:eastAsiaTheme="minorEastAsia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C4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0C41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794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70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F600D2-A455-4B3E-B11F-2B821692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erasmo cordero</cp:lastModifiedBy>
  <cp:revision>2</cp:revision>
  <dcterms:created xsi:type="dcterms:W3CDTF">2021-03-07T17:25:00Z</dcterms:created>
  <dcterms:modified xsi:type="dcterms:W3CDTF">2021-03-07T17:25:00Z</dcterms:modified>
</cp:coreProperties>
</file>